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Θέμα</w:t>
      </w:r>
    </w:p>
    <w:p w:rsidR="00000000" w:rsidDel="00000000" w:rsidP="00000000" w:rsidRDefault="00000000" w:rsidRPr="00000000" w14:paraId="00000002">
      <w:pPr>
        <w:rPr>
          <w:rFonts w:ascii="Calibri" w:cs="Calibri" w:eastAsia="Calibri" w:hAnsi="Calibri"/>
          <w:b w:val="1"/>
          <w:sz w:val="24"/>
          <w:szCs w:val="24"/>
          <w:highlight w:val="yellow"/>
        </w:rPr>
      </w:pPr>
      <w:r w:rsidDel="00000000" w:rsidR="00000000" w:rsidRPr="00000000">
        <w:rPr>
          <w:b w:val="1"/>
          <w:rtl w:val="0"/>
        </w:rPr>
        <w:t xml:space="preserve">ΛΟΑΤΚΙ+ δικαιώματα - διεκδικώντας την πλήρη ισοτιμία και ισονομία</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Η κατάσταση σήμερα - το βασικό πρόβλημα</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Τα τελευταία χρόνια έχουν γίνει σημαντικά βήματα προς την κατεύθυνση της ισοτιμίας των ΛΟΑΤΚΙ+ ατόμων τόσο θεσμικά όσο και κοινωνικά. Ταυτόχρονα, όμως, βρισκόμαστε μπροστά σε μια νέα συσπείρωση των αντιδραστικών φωνών και στην ενίσχυση της ακροδεξιάς, που βάζει στο στόχαστρό της τα ΛΟΑΤΚΙ+ άτομα, και κυρίως τα πιο ευάλωτα από αυτά, τα τρανς, ίντερσεξ και μη δυαδικά άτομα, στοχοποιώντας τα με νέες τακτικές και πολιτικές, που επιχειρούν να τα φέρουν σε αντιπαράθεση με άλλες κοινωνικές ομάδες. Την ίδια στιγμή, η θεσμική κατοχύρωση δικαιωμάτων της ΛΟΑΤΚΙ+ κοινότητας γίνεται συχνά με τρόπο ημιτελή και άτολμο, στα πλαίσια της νεοφιλελεύθερης εργαλειοποίησής τους, που τα αντιμετωπίζει μονοθεματικά και επιφανειακά.</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Η πρότασή μας</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Η δική μας θέση αντιμετωπίζει τα ΛΟΑΤΚΙ+ ζητήματα ως αναπόσπαστο τμήμα του αγώνα για τα έμφυλα δικαιώματα, με διαθεματική και συμπεριληπτική προσέγγιση και κοινό στόχο την κοινωνική απελευθέρωση και χειραφέτηση και την πλήρη θεσμική ισοτιμία.</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Προτείνουμε, μεταξύ άλλων:</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Την αναθεώρηση του νόμου για τη Νομική Αναγνώριση Ταυτότητας Φύλου, ώστε η διαδικασία να γίνει εξωδικαστική, προσβάσιμη και συμπεριληπτική για όλους, όλες, όλα.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 θεσμική κατοχύρωση οριζόντιου και συμπεριληπτικού υποχρεωτικού μαθήματος Σεξουαλικής Εκπαίδευσης.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 λήψη μέτρων προστασίας και ενδυνάμωσης για τα ΛΟΑΤΚΙ+, και ειδικά τα τρανς άτομα, στα πεδία της Υγείας, της Εκπαίδευσης και της Εργασίας (ενδεικτικά</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κατοχύρωση επιβεβαιωτικών υπηρεσιών υγείας και ψυχικής υγείας για τρανς άτομα, ανήλικα και ενήλικα), τη λήψη μέτρων για τον ομοφοβικό / τρανσφοβικό / ιντερφοβικό σχολικό εκφοβισμό, μέτρων για την πρόσβαση σε εργασία και κατοχύρωση συνταξιοδοτικών δικαιωμάτων των τρανς και φυλοδιαφορετικών ατόμων, καθώς και μέτρων για την εξάλειψη των διακρίσεων σε αστυνομία, δικαστικές αρχές, δημόσιες υπηρεσίες και ένοπλες δυνάμεις και για την αποτροπή ομοτρανσφοβικών συμπεριφορών.</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 βελτίωση του νόμου για την Ισότητα στον γάμο με βάση τα σχόλια και τις παρατηρήσεις των ΛΟΑΤΚΙ+ φορέων και οργανώσεων, και την αναθεώρηση του νόμου για την απαγόρευση των πρακτικών μεταστροφής, ο οποίος παραμένει ανεφάρμοστος και προβληματικός.</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Την αναγνώριση των πολλαπλών αποκλεισμών που βιώνουν πληθυσμοί με διασταυρούμενες καταπιέσεις (π.χ. ΛΟΑΤΚΙ+ πρόσφυγ@ και μεταναστ@) και τις θεσμικές πρωτοβουλίες για την προστασία τους.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 θέσπιση νέου νομοθετικού πλαισίου για τα άτομα που εργάζονται στο σεξ, με βάση τη γνώση από τα σύγχρονα ευρωπαϊκά παραδείγματα και τα μακροχρόνια αιτήματα του κλάδου.</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Τη λήψη μέτρων για την καταπολέμηση του στίγματος και για τα εμπόδια που αντιμετωπίζουν τα οροθετικά άτομα (</w:t>
      </w:r>
      <w:r w:rsidDel="00000000" w:rsidR="00000000" w:rsidRPr="00000000">
        <w:rPr>
          <w:rFonts w:ascii="Calibri" w:cs="Calibri" w:eastAsia="Calibri" w:hAnsi="Calibri"/>
          <w:sz w:val="24"/>
          <w:szCs w:val="24"/>
          <w:rtl w:val="0"/>
        </w:rPr>
        <w:t xml:space="preserve">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γεία, </w:t>
      </w:r>
      <w:r w:rsidDel="00000000" w:rsidR="00000000" w:rsidRPr="00000000">
        <w:rPr>
          <w:rFonts w:ascii="Calibri" w:cs="Calibri" w:eastAsia="Calibri" w:hAnsi="Calibri"/>
          <w:sz w:val="24"/>
          <w:szCs w:val="24"/>
          <w:rtl w:val="0"/>
        </w:rPr>
        <w:t xml:space="preserve">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ργασία κ.λπ.).</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C1D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1D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1D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1D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C1D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C1D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1D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C1D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C1D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1D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1D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1D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1DE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1D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1D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1DE2"/>
    <w:rPr>
      <w:i w:val="1"/>
      <w:iCs w:val="1"/>
      <w:color w:val="404040" w:themeColor="text1" w:themeTint="0000BF"/>
    </w:rPr>
  </w:style>
  <w:style w:type="paragraph" w:styleId="ListParagraph">
    <w:name w:val="List Paragraph"/>
    <w:basedOn w:val="Normal"/>
    <w:uiPriority w:val="34"/>
    <w:qFormat w:val="1"/>
    <w:rsid w:val="006C1DE2"/>
    <w:pPr>
      <w:ind w:left="720"/>
      <w:contextualSpacing w:val="1"/>
    </w:pPr>
  </w:style>
  <w:style w:type="character" w:styleId="IntenseEmphasis">
    <w:name w:val="Intense Emphasis"/>
    <w:basedOn w:val="DefaultParagraphFont"/>
    <w:uiPriority w:val="21"/>
    <w:qFormat w:val="1"/>
    <w:rsid w:val="006C1DE2"/>
    <w:rPr>
      <w:i w:val="1"/>
      <w:iCs w:val="1"/>
      <w:color w:val="0f4761" w:themeColor="accent1" w:themeShade="0000BF"/>
    </w:rPr>
  </w:style>
  <w:style w:type="paragraph" w:styleId="IntenseQuote">
    <w:name w:val="Intense Quote"/>
    <w:basedOn w:val="Normal"/>
    <w:next w:val="Normal"/>
    <w:link w:val="IntenseQuoteChar"/>
    <w:uiPriority w:val="30"/>
    <w:qFormat w:val="1"/>
    <w:rsid w:val="006C1D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C1DE2"/>
    <w:rPr>
      <w:i w:val="1"/>
      <w:iCs w:val="1"/>
      <w:color w:val="0f4761" w:themeColor="accent1" w:themeShade="0000BF"/>
    </w:rPr>
  </w:style>
  <w:style w:type="character" w:styleId="IntenseReference">
    <w:name w:val="Intense Reference"/>
    <w:basedOn w:val="DefaultParagraphFont"/>
    <w:uiPriority w:val="32"/>
    <w:qFormat w:val="1"/>
    <w:rsid w:val="006C1DE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cHjunYcp0OAA0/Cv5C45D91Zw==">CgMxLjA4AHIhMU15eERiY1lJcEJXdkxkRWdHQndhQmFqRFpORTNEbXVp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2025-06-25T10:12:00Z</dcterms:created>
  <dc:creator>Vasilis Emmanouilidis</dc:creator>
</cp:coreProperties>
</file>